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>Załącznik Nr 2 do Uchwały Nr XLVII/335/2017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Rady Miasta Brzeziny z dnia 20 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grudnia 2017 r.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87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8"/>
        <w:gridCol w:w="4011"/>
        <w:gridCol w:w="1604"/>
        <w:gridCol w:w="659"/>
        <w:gridCol w:w="1252"/>
        <w:gridCol w:w="3"/>
        <w:gridCol w:w="1414"/>
        <w:gridCol w:w="2"/>
        <w:gridCol w:w="1174"/>
        <w:gridCol w:w="2"/>
        <w:gridCol w:w="1266"/>
        <w:gridCol w:w="1244"/>
        <w:gridCol w:w="1244"/>
        <w:gridCol w:w="1305"/>
      </w:tblGrid>
      <w:tr>
        <w:trPr>
          <w:trHeight w:val="548" w:hRule="atLeast"/>
        </w:trPr>
        <w:tc>
          <w:tcPr>
            <w:tcW w:w="6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9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2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1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0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10 390 161,48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216 869,97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3 104 773,46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1 142 746,05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5 902 772,01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10 367 161,49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405 609,96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216 869,97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115 300,00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382 609,97</w:t>
            </w:r>
          </w:p>
        </w:tc>
      </w:tr>
      <w:tr>
        <w:trPr>
          <w:trHeight w:val="424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2 989 473,46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529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10 120 161,48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3 009 773,46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1 142 746,05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5 902 772,01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10 117 161,49</w:t>
            </w:r>
          </w:p>
        </w:tc>
      </w:tr>
      <w:tr>
        <w:trPr>
          <w:trHeight w:val="412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Przygotowanie terenów inwestycyjnych dla lokalizacji Strefy Inwestycyjnej w Brzezinach - Etap II -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454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2 989 473,46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Przygotowanie terenów inwestycyjnych dla lokalizacji Strefy Inwestycyjnej w Brzezinach - Etap II -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2 989 473,46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552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270 000,00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155 000,00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>
        <w:trPr>
          <w:trHeight w:val="432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270 000,00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155 000,00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>
        <w:trPr>
          <w:trHeight w:val="372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Zmiana Miejscowego planu zagospodarowania przestrzennego miasta Brzeziny dla jedenastu obszarów położonych na terenie miasta -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170 000,00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1.3.1.6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Podstrefa Brzeziny Łódzkiej Specjalnej Strefy Ekonomicznej na terenie Miasta Brzeziny -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100 000,00</w:t>
            </w:r>
          </w:p>
        </w:tc>
      </w:tr>
    </w:tbl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Przewodniczący Rady Miasta</w:t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Tadeusz Barucki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LibreOffice/5.2.0.4$Windows_x86 LibreOffice_project/066b007f5ebcc236395c7d282ba488bca6720265</Application>
  <Pages>1</Pages>
  <Words>409</Words>
  <Characters>2051</Characters>
  <CharactersWithSpaces>2351</CharactersWithSpaces>
  <Paragraphs>149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2017-11-07T11:46:00Z</dcterms:created>
  <dc:creator>skarbnik</dc:creator>
  <dc:description/>
  <dc:language>pl-PL</dc:language>
  <cp:lastModifiedBy/>
  <cp:lastPrinted>2017-12-22T11:10:42Z</cp:lastPrinted>
  <dcterms:modified xsi:type="dcterms:W3CDTF">2017-12-22T11:10:49Z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